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B73E" w14:textId="77777777" w:rsidR="0070651A" w:rsidRPr="0070651A" w:rsidRDefault="0070651A" w:rsidP="0070651A">
      <w:pPr>
        <w:pBdr>
          <w:bottom w:val="single" w:sz="6" w:space="7" w:color="EEEEEE"/>
        </w:pBdr>
        <w:shd w:val="clear" w:color="auto" w:fill="FFFFFF"/>
        <w:spacing w:after="300" w:line="240" w:lineRule="auto"/>
        <w:outlineLvl w:val="0"/>
        <w:rPr>
          <w:rFonts w:ascii="Arial" w:eastAsia="Times New Roman" w:hAnsi="Arial" w:cs="Arial"/>
          <w:color w:val="EE9300"/>
          <w:kern w:val="36"/>
          <w:sz w:val="36"/>
          <w:szCs w:val="36"/>
          <w:lang w:val="en-GB" w:eastAsia="en-GB"/>
        </w:rPr>
      </w:pPr>
      <w:bookmarkStart w:id="0" w:name="_GoBack"/>
      <w:r w:rsidRPr="0070651A">
        <w:rPr>
          <w:rFonts w:ascii="Arial" w:eastAsia="Times New Roman" w:hAnsi="Arial" w:cs="Arial"/>
          <w:color w:val="EE9300"/>
          <w:kern w:val="36"/>
          <w:sz w:val="36"/>
          <w:szCs w:val="36"/>
          <w:lang w:val="en-GB" w:eastAsia="en-GB"/>
        </w:rPr>
        <w:t>Study identifies risk of malformations associated with prenatal exposure to 10 epilepsy drugs</w:t>
      </w:r>
    </w:p>
    <w:bookmarkEnd w:id="0"/>
    <w:p w14:paraId="73439BEA" w14:textId="77777777" w:rsidR="0070651A" w:rsidRPr="0070651A" w:rsidRDefault="0070651A" w:rsidP="0070651A">
      <w:pPr>
        <w:shd w:val="clear" w:color="auto" w:fill="FFFFFF"/>
        <w:spacing w:after="0" w:line="240" w:lineRule="auto"/>
        <w:rPr>
          <w:rFonts w:ascii="Arial" w:eastAsia="Times New Roman" w:hAnsi="Arial" w:cs="Arial"/>
          <w:color w:val="333333"/>
          <w:sz w:val="21"/>
          <w:szCs w:val="21"/>
          <w:lang w:val="en-GB" w:eastAsia="en-GB"/>
        </w:rPr>
      </w:pPr>
      <w:r w:rsidRPr="0070651A">
        <w:rPr>
          <w:rFonts w:ascii="Arial" w:eastAsia="Times New Roman" w:hAnsi="Arial" w:cs="Arial"/>
          <w:b/>
          <w:bCs/>
          <w:color w:val="000000"/>
          <w:sz w:val="21"/>
          <w:szCs w:val="21"/>
          <w:lang w:val="en-GB" w:eastAsia="en-GB"/>
        </w:rPr>
        <w:t>Tuesday, June 18, 2019</w:t>
      </w:r>
    </w:p>
    <w:p w14:paraId="03C14A69" w14:textId="77777777" w:rsidR="0070651A" w:rsidRPr="0070651A" w:rsidRDefault="0070651A" w:rsidP="0070651A">
      <w:pPr>
        <w:shd w:val="clear" w:color="auto" w:fill="FFFFFF"/>
        <w:spacing w:line="240" w:lineRule="auto"/>
        <w:rPr>
          <w:rFonts w:ascii="Arial" w:eastAsia="Times New Roman" w:hAnsi="Arial" w:cs="Arial"/>
          <w:color w:val="333333"/>
          <w:sz w:val="21"/>
          <w:szCs w:val="21"/>
          <w:lang w:val="en-GB" w:eastAsia="en-GB"/>
        </w:rPr>
      </w:pPr>
      <w:r w:rsidRPr="0070651A">
        <w:rPr>
          <w:rFonts w:ascii="Arial" w:eastAsia="Times New Roman" w:hAnsi="Arial" w:cs="Arial"/>
          <w:noProof/>
          <w:color w:val="333333"/>
          <w:sz w:val="21"/>
          <w:szCs w:val="21"/>
          <w:lang w:val="en-GB" w:eastAsia="en-GB"/>
        </w:rPr>
        <w:drawing>
          <wp:inline distT="0" distB="0" distL="0" distR="0" wp14:anchorId="62A2F0B2" wp14:editId="1FF8D633">
            <wp:extent cx="4572000" cy="2752725"/>
            <wp:effectExtent l="0" t="0" r="0" b="9525"/>
            <wp:docPr id="2" name="Picture 2" descr="https://www.epilepsy.ie/sites/www.epilepsy.ie/files/styles/large/public/field/image/Clipboard01_0.jpg?itok=-7PNG0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pilepsy.ie/sites/www.epilepsy.ie/files/styles/large/public/field/image/Clipboard01_0.jpg?itok=-7PNG0U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p>
    <w:p w14:paraId="29504EED" w14:textId="77777777" w:rsidR="0070651A" w:rsidRPr="0070651A" w:rsidRDefault="0070651A" w:rsidP="0070651A">
      <w:pPr>
        <w:shd w:val="clear" w:color="auto" w:fill="FFFFFF"/>
        <w:spacing w:after="150" w:line="240" w:lineRule="auto"/>
        <w:rPr>
          <w:rFonts w:ascii="Arial" w:eastAsia="Times New Roman" w:hAnsi="Arial" w:cs="Arial"/>
          <w:color w:val="333333"/>
          <w:sz w:val="21"/>
          <w:szCs w:val="21"/>
          <w:lang w:val="en-GB" w:eastAsia="en-GB"/>
        </w:rPr>
      </w:pPr>
      <w:r w:rsidRPr="0070651A">
        <w:rPr>
          <w:rFonts w:ascii="Arial" w:eastAsia="Times New Roman" w:hAnsi="Arial" w:cs="Arial"/>
          <w:color w:val="333333"/>
          <w:sz w:val="21"/>
          <w:szCs w:val="21"/>
          <w:lang w:val="en-GB" w:eastAsia="en-GB"/>
        </w:rPr>
        <w:t>Researchers from the French National Health Insurance (CNAM) have </w:t>
      </w:r>
      <w:hyperlink r:id="rId6" w:history="1">
        <w:r w:rsidRPr="0070651A">
          <w:rPr>
            <w:rFonts w:ascii="Arial" w:eastAsia="Times New Roman" w:hAnsi="Arial" w:cs="Arial"/>
            <w:color w:val="337AB7"/>
            <w:sz w:val="21"/>
            <w:szCs w:val="21"/>
            <w:u w:val="single"/>
            <w:lang w:val="en-GB" w:eastAsia="en-GB"/>
          </w:rPr>
          <w:t>just published</w:t>
        </w:r>
      </w:hyperlink>
      <w:r w:rsidRPr="0070651A">
        <w:rPr>
          <w:rFonts w:ascii="Arial" w:eastAsia="Times New Roman" w:hAnsi="Arial" w:cs="Arial"/>
          <w:color w:val="333333"/>
          <w:sz w:val="21"/>
          <w:szCs w:val="21"/>
          <w:lang w:val="en-GB" w:eastAsia="en-GB"/>
        </w:rPr>
        <w:t> a nationwide study of pregnancies ending between January 2011 and March 2015 to examine links between exposure to monotherapy with 10 different AEDs during the first two months of pregnancy and the risk of 23 specific major congenital malformations (MCMs). The study is published in the journal </w:t>
      </w:r>
      <w:r w:rsidRPr="0070651A">
        <w:rPr>
          <w:rFonts w:ascii="Arial" w:eastAsia="Times New Roman" w:hAnsi="Arial" w:cs="Arial"/>
          <w:i/>
          <w:iCs/>
          <w:color w:val="333333"/>
          <w:sz w:val="21"/>
          <w:szCs w:val="21"/>
          <w:lang w:val="en-GB" w:eastAsia="en-GB"/>
        </w:rPr>
        <w:t>Neurology</w:t>
      </w:r>
      <w:r w:rsidRPr="0070651A">
        <w:rPr>
          <w:rFonts w:ascii="Arial" w:eastAsia="Times New Roman" w:hAnsi="Arial" w:cs="Arial"/>
          <w:color w:val="333333"/>
          <w:sz w:val="21"/>
          <w:szCs w:val="21"/>
          <w:lang w:val="en-GB" w:eastAsia="en-GB"/>
        </w:rPr>
        <w:t>.</w:t>
      </w:r>
    </w:p>
    <w:p w14:paraId="08F09718" w14:textId="77777777" w:rsidR="0070651A" w:rsidRPr="0070651A" w:rsidRDefault="0070651A" w:rsidP="0070651A">
      <w:pPr>
        <w:shd w:val="clear" w:color="auto" w:fill="FFFFFF"/>
        <w:spacing w:after="150" w:line="240" w:lineRule="auto"/>
        <w:rPr>
          <w:rFonts w:ascii="Arial" w:eastAsia="Times New Roman" w:hAnsi="Arial" w:cs="Arial"/>
          <w:color w:val="333333"/>
          <w:sz w:val="21"/>
          <w:szCs w:val="21"/>
          <w:lang w:val="en-GB" w:eastAsia="en-GB"/>
        </w:rPr>
      </w:pPr>
      <w:r w:rsidRPr="0070651A">
        <w:rPr>
          <w:rFonts w:ascii="Arial" w:eastAsia="Times New Roman" w:hAnsi="Arial" w:cs="Arial"/>
          <w:color w:val="333333"/>
          <w:sz w:val="21"/>
          <w:szCs w:val="21"/>
          <w:lang w:val="en-GB" w:eastAsia="en-GB"/>
        </w:rPr>
        <w:t>From almost 1.9m total pregnancies, the researchers found that a total 8,794 women had been prescribed an AED. 2,997 were exposed to lamotrigine (Lamictal); 1,671 to pregabalin (</w:t>
      </w:r>
      <w:proofErr w:type="spellStart"/>
      <w:r w:rsidRPr="0070651A">
        <w:rPr>
          <w:rFonts w:ascii="Arial" w:eastAsia="Times New Roman" w:hAnsi="Arial" w:cs="Arial"/>
          <w:color w:val="333333"/>
          <w:sz w:val="21"/>
          <w:szCs w:val="21"/>
          <w:lang w:val="en-GB" w:eastAsia="en-GB"/>
        </w:rPr>
        <w:t>lyrica</w:t>
      </w:r>
      <w:proofErr w:type="spellEnd"/>
      <w:r w:rsidRPr="0070651A">
        <w:rPr>
          <w:rFonts w:ascii="Arial" w:eastAsia="Times New Roman" w:hAnsi="Arial" w:cs="Arial"/>
          <w:color w:val="333333"/>
          <w:sz w:val="21"/>
          <w:szCs w:val="21"/>
          <w:lang w:val="en-GB" w:eastAsia="en-GB"/>
        </w:rPr>
        <w:t>); 980 to clonazepam; 913 to sodium valproate (Epilim); 579 to levetiracetam (Keppra); 517 to topiramate (Topamax); 512 to carbamazepine (Tegretol); 365 to gabapentin (Neurontin); 139 to oxcarbazepine (Trileptal); and 80 to phenobarbital.</w:t>
      </w:r>
    </w:p>
    <w:p w14:paraId="10E121A7" w14:textId="77777777" w:rsidR="0070651A" w:rsidRPr="0070651A" w:rsidRDefault="0070651A" w:rsidP="0070651A">
      <w:pPr>
        <w:shd w:val="clear" w:color="auto" w:fill="FFFFFF"/>
        <w:spacing w:after="150" w:line="240" w:lineRule="auto"/>
        <w:rPr>
          <w:rFonts w:ascii="Arial" w:eastAsia="Times New Roman" w:hAnsi="Arial" w:cs="Arial"/>
          <w:color w:val="333333"/>
          <w:sz w:val="21"/>
          <w:szCs w:val="21"/>
          <w:lang w:val="en-GB" w:eastAsia="en-GB"/>
        </w:rPr>
      </w:pPr>
      <w:r w:rsidRPr="0070651A">
        <w:rPr>
          <w:rFonts w:ascii="Arial" w:eastAsia="Times New Roman" w:hAnsi="Arial" w:cs="Arial"/>
          <w:color w:val="333333"/>
          <w:sz w:val="21"/>
          <w:szCs w:val="21"/>
          <w:lang w:val="en-GB" w:eastAsia="en-GB"/>
        </w:rPr>
        <w:t>MCMs were detected up to 12 or in some cases, 24 months after birth.</w:t>
      </w:r>
    </w:p>
    <w:p w14:paraId="27D4C468" w14:textId="77777777" w:rsidR="0070651A" w:rsidRPr="0070651A" w:rsidRDefault="0070651A" w:rsidP="0070651A">
      <w:pPr>
        <w:shd w:val="clear" w:color="auto" w:fill="FFFFFF"/>
        <w:spacing w:after="150" w:line="240" w:lineRule="auto"/>
        <w:rPr>
          <w:rFonts w:ascii="Arial" w:eastAsia="Times New Roman" w:hAnsi="Arial" w:cs="Arial"/>
          <w:color w:val="333333"/>
          <w:sz w:val="21"/>
          <w:szCs w:val="21"/>
          <w:lang w:val="en-GB" w:eastAsia="en-GB"/>
        </w:rPr>
      </w:pPr>
      <w:r w:rsidRPr="0070651A">
        <w:rPr>
          <w:rFonts w:ascii="Arial" w:eastAsia="Times New Roman" w:hAnsi="Arial" w:cs="Arial"/>
          <w:color w:val="333333"/>
          <w:sz w:val="21"/>
          <w:szCs w:val="21"/>
          <w:lang w:val="en-GB" w:eastAsia="en-GB"/>
        </w:rPr>
        <w:t>Key findings included:</w:t>
      </w:r>
    </w:p>
    <w:p w14:paraId="287FA139" w14:textId="77777777" w:rsidR="0070651A" w:rsidRPr="0070651A" w:rsidRDefault="0070651A" w:rsidP="0070651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70651A">
        <w:rPr>
          <w:rFonts w:ascii="Arial" w:eastAsia="Times New Roman" w:hAnsi="Arial" w:cs="Arial"/>
          <w:color w:val="333333"/>
          <w:sz w:val="21"/>
          <w:szCs w:val="21"/>
          <w:lang w:val="en-GB" w:eastAsia="en-GB"/>
        </w:rPr>
        <w:t>Women prescribed valproate had a 19 times greater risk of having a baby with spina bifida compared with women who did not take any epilepsy drug. Valproate also increased the risk of seven other birth defects, including cleft palate and four types of heart defects.</w:t>
      </w:r>
    </w:p>
    <w:p w14:paraId="4358E092" w14:textId="77777777" w:rsidR="0070651A" w:rsidRPr="0070651A" w:rsidRDefault="0070651A" w:rsidP="0070651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70651A">
        <w:rPr>
          <w:rFonts w:ascii="Arial" w:eastAsia="Times New Roman" w:hAnsi="Arial" w:cs="Arial"/>
          <w:color w:val="333333"/>
          <w:sz w:val="21"/>
          <w:szCs w:val="21"/>
          <w:lang w:val="en-GB" w:eastAsia="en-GB"/>
        </w:rPr>
        <w:t>Women prescribed topiramate had a seven times greater risk of having a baby with cleft lip (with or without cleft palate).</w:t>
      </w:r>
    </w:p>
    <w:p w14:paraId="43AC2B36" w14:textId="77777777" w:rsidR="0070651A" w:rsidRPr="0070651A" w:rsidRDefault="0070651A" w:rsidP="0070651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70651A">
        <w:rPr>
          <w:rFonts w:ascii="Arial" w:eastAsia="Times New Roman" w:hAnsi="Arial" w:cs="Arial"/>
          <w:color w:val="333333"/>
          <w:sz w:val="21"/>
          <w:szCs w:val="21"/>
          <w:lang w:val="en-GB" w:eastAsia="en-GB"/>
        </w:rPr>
        <w:t>Weak signals were identified linking clonazepam to a higher risk of microcephaly (a small head circumference associated with lower IQ), while phenobarbital and pregabalin were linked to higher risks of different types of heart defects. However, the researchers have urged interpreting this data with caution because of the small numbers of cases involved.</w:t>
      </w:r>
    </w:p>
    <w:p w14:paraId="3F029F38" w14:textId="77777777" w:rsidR="0070651A" w:rsidRPr="0070651A" w:rsidRDefault="0070651A" w:rsidP="0070651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70651A">
        <w:rPr>
          <w:rFonts w:ascii="Arial" w:eastAsia="Times New Roman" w:hAnsi="Arial" w:cs="Arial"/>
          <w:color w:val="333333"/>
          <w:sz w:val="21"/>
          <w:szCs w:val="21"/>
          <w:lang w:val="en-GB" w:eastAsia="en-GB"/>
        </w:rPr>
        <w:t>No significant associations in this study were found for lamotrigine, levetiracetam, carbamazepine, oxcarbazepine, or gabapentin. [</w:t>
      </w:r>
      <w:r w:rsidRPr="0070651A">
        <w:rPr>
          <w:rFonts w:ascii="Arial" w:eastAsia="Times New Roman" w:hAnsi="Arial" w:cs="Arial"/>
          <w:b/>
          <w:bCs/>
          <w:color w:val="333333"/>
          <w:sz w:val="21"/>
          <w:szCs w:val="21"/>
          <w:lang w:val="en-GB" w:eastAsia="en-GB"/>
        </w:rPr>
        <w:t>Note:</w:t>
      </w:r>
      <w:r w:rsidRPr="0070651A">
        <w:rPr>
          <w:rFonts w:ascii="Arial" w:eastAsia="Times New Roman" w:hAnsi="Arial" w:cs="Arial"/>
          <w:color w:val="333333"/>
          <w:sz w:val="21"/>
          <w:szCs w:val="21"/>
          <w:lang w:val="en-GB" w:eastAsia="en-GB"/>
        </w:rPr>
        <w:t> previous studies have associated some of these drugs with foetal malformations, for example </w:t>
      </w:r>
      <w:hyperlink r:id="rId7" w:history="1">
        <w:r w:rsidRPr="0070651A">
          <w:rPr>
            <w:rFonts w:ascii="Arial" w:eastAsia="Times New Roman" w:hAnsi="Arial" w:cs="Arial"/>
            <w:color w:val="337AB7"/>
            <w:sz w:val="21"/>
            <w:szCs w:val="21"/>
            <w:u w:val="single"/>
            <w:lang w:val="en-GB" w:eastAsia="en-GB"/>
          </w:rPr>
          <w:t>see here</w:t>
        </w:r>
      </w:hyperlink>
      <w:r w:rsidRPr="0070651A">
        <w:rPr>
          <w:rFonts w:ascii="Arial" w:eastAsia="Times New Roman" w:hAnsi="Arial" w:cs="Arial"/>
          <w:color w:val="333333"/>
          <w:sz w:val="21"/>
          <w:szCs w:val="21"/>
          <w:lang w:val="en-GB" w:eastAsia="en-GB"/>
        </w:rPr>
        <w:t>]</w:t>
      </w:r>
    </w:p>
    <w:p w14:paraId="60D15473" w14:textId="77777777" w:rsidR="005033E8" w:rsidRDefault="005033E8"/>
    <w:sectPr w:rsidR="00503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01C1"/>
    <w:multiLevelType w:val="multilevel"/>
    <w:tmpl w:val="0764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1A"/>
    <w:rsid w:val="005033E8"/>
    <w:rsid w:val="0070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62EE"/>
  <w15:chartTrackingRefBased/>
  <w15:docId w15:val="{BD317CE1-7D18-4936-9043-C5AC349F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88312">
      <w:bodyDiv w:val="1"/>
      <w:marLeft w:val="0"/>
      <w:marRight w:val="0"/>
      <w:marTop w:val="0"/>
      <w:marBottom w:val="0"/>
      <w:divBdr>
        <w:top w:val="none" w:sz="0" w:space="0" w:color="auto"/>
        <w:left w:val="none" w:sz="0" w:space="0" w:color="auto"/>
        <w:bottom w:val="none" w:sz="0" w:space="0" w:color="auto"/>
        <w:right w:val="none" w:sz="0" w:space="0" w:color="auto"/>
      </w:divBdr>
      <w:divsChild>
        <w:div w:id="847788792">
          <w:marLeft w:val="0"/>
          <w:marRight w:val="0"/>
          <w:marTop w:val="0"/>
          <w:marBottom w:val="0"/>
          <w:divBdr>
            <w:top w:val="none" w:sz="0" w:space="0" w:color="auto"/>
            <w:left w:val="none" w:sz="0" w:space="0" w:color="auto"/>
            <w:bottom w:val="none" w:sz="0" w:space="0" w:color="auto"/>
            <w:right w:val="none" w:sz="0" w:space="0" w:color="auto"/>
          </w:divBdr>
          <w:divsChild>
            <w:div w:id="959726041">
              <w:marLeft w:val="225"/>
              <w:marRight w:val="0"/>
              <w:marTop w:val="0"/>
              <w:marBottom w:val="225"/>
              <w:divBdr>
                <w:top w:val="none" w:sz="0" w:space="0" w:color="auto"/>
                <w:left w:val="none" w:sz="0" w:space="0" w:color="auto"/>
                <w:bottom w:val="none" w:sz="0" w:space="0" w:color="auto"/>
                <w:right w:val="none" w:sz="0" w:space="0" w:color="auto"/>
              </w:divBdr>
              <w:divsChild>
                <w:div w:id="1818649125">
                  <w:marLeft w:val="0"/>
                  <w:marRight w:val="0"/>
                  <w:marTop w:val="0"/>
                  <w:marBottom w:val="0"/>
                  <w:divBdr>
                    <w:top w:val="none" w:sz="0" w:space="0" w:color="auto"/>
                    <w:left w:val="none" w:sz="0" w:space="0" w:color="auto"/>
                    <w:bottom w:val="none" w:sz="0" w:space="0" w:color="auto"/>
                    <w:right w:val="none" w:sz="0" w:space="0" w:color="auto"/>
                  </w:divBdr>
                  <w:divsChild>
                    <w:div w:id="1456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7334">
              <w:marLeft w:val="0"/>
              <w:marRight w:val="0"/>
              <w:marTop w:val="0"/>
              <w:marBottom w:val="0"/>
              <w:divBdr>
                <w:top w:val="none" w:sz="0" w:space="0" w:color="auto"/>
                <w:left w:val="none" w:sz="0" w:space="0" w:color="auto"/>
                <w:bottom w:val="none" w:sz="0" w:space="0" w:color="auto"/>
                <w:right w:val="none" w:sz="0" w:space="0" w:color="auto"/>
              </w:divBdr>
              <w:divsChild>
                <w:div w:id="853961810">
                  <w:marLeft w:val="0"/>
                  <w:marRight w:val="0"/>
                  <w:marTop w:val="0"/>
                  <w:marBottom w:val="0"/>
                  <w:divBdr>
                    <w:top w:val="none" w:sz="0" w:space="0" w:color="auto"/>
                    <w:left w:val="none" w:sz="0" w:space="0" w:color="auto"/>
                    <w:bottom w:val="none" w:sz="0" w:space="0" w:color="auto"/>
                    <w:right w:val="none" w:sz="0" w:space="0" w:color="auto"/>
                  </w:divBdr>
                  <w:divsChild>
                    <w:div w:id="12883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2611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neurology.org/content/early/2019/06/12/WNL.000000000000769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Keely</dc:creator>
  <cp:keywords/>
  <dc:description/>
  <cp:lastModifiedBy>Karen Keely</cp:lastModifiedBy>
  <cp:revision>1</cp:revision>
  <dcterms:created xsi:type="dcterms:W3CDTF">2019-06-20T17:36:00Z</dcterms:created>
  <dcterms:modified xsi:type="dcterms:W3CDTF">2019-06-20T17:37:00Z</dcterms:modified>
</cp:coreProperties>
</file>